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5be210de7894fc3" /></Relationships>
</file>

<file path=word/document.xml><?xml version="1.0" encoding="utf-8"?>
<w:document xmlns:w="http://schemas.openxmlformats.org/wordprocessingml/2006/main">
  <w:body>
    <w:sectPr>
      <w:pgSz w:w="12240" w:h="15840"/>
      <w:pgMar w:top="1080" w:right="1440" w:bottom="1080" w:left="600" w:header="1080" w:footer="1080" w:gutter="0"/>
    </w:sectPr>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b/>
              </w:rPr>
              <w:t xml:space="preserve">MINUTES OF THE REGULAR MEETING OF CITY COUNCIL HELD ON TUESDAY, APRIL 7, 2026 AT 7:00 PM IN THE COUNCIL CHAMBERS, CIVIC ADMINISTRATION BUILDING, BRANDON, MANITOBA</w:t>
            </w:r>
          </w:p>
        </w:tc>
      </w:tr>
    </w:tbl>
    <w:p>
      <w:pPr>
        <w:spacing w:after="0" w:line="240" w:lineRule="auto"/>
        <w:jc w:val="both"/>
      </w:pPr>
    </w:p>
    <w:p>
      <w:pPr>
        <w:ind w:left="1440" w:hanging="1440"/>
        <w:spacing w:after="0" w:line="240" w:lineRule="auto"/>
        <w:jc w:val="both"/>
      </w:pPr>
      <w:r>
        <w:rPr>
          <w:rFonts w:ascii="Calibri" w:hAnsi="Calibri" w:cs="Calibri"/>
          <w:sz w:val="24"/>
          <w:sz w:val="24"/>
          <w:u w:val="single"/>
        </w:rPr>
        <w:t xml:space="preserve">PRESENT:</w:t>
      </w:r>
      <w:r>
        <w:rPr>
          <w:rFonts w:ascii="Calibri" w:hAnsi="Calibri" w:cs="Calibri"/>
          <w:sz w:val="24"/>
          <w:sz w:val="24"/>
        </w:rPr>
        <w:t xml:space="preserve">	</w:t>
      </w:r>
      <w:r>
        <w:rPr>
          <w:rFonts w:ascii="Calibri" w:hAnsi="Calibri" w:cs="Calibri"/>
          <w:sz w:val="24"/>
          <w:sz w:val="24"/>
        </w:rPr>
        <w:t xml:space="preserve">Mayor Jeff Fawcett In The Chair, Councillor Shawn Berry, Councillor Shaun Cameron, Councillor Barry Cullen, Councillor Kris Desjarlais, Councillor Greg Hildebrand, Councillor Heather Karrouze, Councillor Bruce Luebke, Councillor Jason Splett, Councillor Tyson Tame</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ABSENT:</w:t>
      </w:r>
      <w:r>
        <w:rPr>
          <w:rFonts w:ascii="Calibri" w:hAnsi="Calibri" w:cs="Calibri"/>
          <w:sz w:val="24"/>
          <w:sz w:val="24"/>
        </w:rPr>
        <w:t xml:space="preserve">	</w:t>
      </w:r>
      <w:r>
        <w:rPr>
          <w:rFonts w:ascii="Calibri" w:hAnsi="Calibri" w:cs="Calibri"/>
          <w:sz w:val="24"/>
          <w:sz w:val="24"/>
        </w:rPr>
        <w:t xml:space="preserve">Councillor Glen Parker</w:t>
      </w:r>
    </w:p>
    <w:p>
      <w:pPr>
        <w:spacing w:after="0" w:line="240" w:lineRule="auto"/>
        <w:jc w:val="both"/>
      </w:pPr>
    </w:p>
    <w:p>
      <w:pPr>
        <w:spacing w:after="0" w:line="240" w:lineRule="auto"/>
        <w:jc w:val="both"/>
      </w:pPr>
      <w:r>
        <w:rPr>
          <w:rFonts w:ascii="Calibri" w:hAnsi="Calibri" w:cs="Calibri"/>
          <w:sz w:val="24"/>
          <w:sz w:val="24"/>
          <w:u w:val="single"/>
        </w:rPr>
        <w:t xml:space="preserve">ADOPTION OF AGENDA:</w:t>
      </w:r>
    </w:p>
    <w:p>
      <w:pPr>
        <w:spacing w:after="0" w:line="240" w:lineRule="auto"/>
        <w:jc w:val="both"/>
      </w:pPr>
    </w:p>
    <w:p>
      <w:pPr>
        <w:ind w:left="1440"/>
        <w:spacing w:after="0" w:line="240" w:lineRule="auto"/>
        <w:jc w:val="both"/>
      </w:pPr>
      <w:r>
        <w:rPr>
          <w:rFonts w:ascii="Calibri" w:hAnsi="Calibri" w:cs="Calibri"/>
          <w:sz w:val="24"/>
          <w:sz w:val="24"/>
          <w:u w:val="single"/>
        </w:rPr>
        <w:t xml:space="preserve">Cullen-Tame</w:t>
      </w:r>
    </w:p>
    <w:p>
      <w:pPr>
        <w:ind w:left="1440" w:hanging="1440"/>
        <w:spacing w:after="0" w:line="240" w:lineRule="auto"/>
        <w:jc w:val="both"/>
      </w:pPr>
      <w:r>
        <w:rPr>
          <w:rFonts w:ascii="Calibri" w:hAnsi="Calibri" w:cs="Calibri"/>
          <w:sz w:val="24"/>
          <w:sz w:val="24"/>
        </w:rPr>
        <w:t xml:space="preserve">1760</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Agenda for the regular meeting of City Council to be held on Tuesday, April 7, 2026 be adopted as amended.</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Splett-Karrouze</w:t>
      </w:r>
    </w:p>
    <w:p>
      <w:pPr>
        <w:ind w:left="1440" w:hanging="1440"/>
        <w:spacing w:after="0" w:line="240" w:lineRule="auto"/>
        <w:jc w:val="both"/>
      </w:pPr>
      <w:r>
        <w:rPr>
          <w:rFonts w:ascii="Calibri" w:hAnsi="Calibri" w:cs="Calibri"/>
          <w:sz w:val="24"/>
          <w:sz w:val="24"/>
        </w:rPr>
        <w:t xml:space="preserve">1761</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agenda be amended by removing By-law No. 7442</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RECOGNITIONS:</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CONFIRMATION OF MINUTES:</w:t>
      </w:r>
    </w:p>
    <w:p>
      <w:pPr>
        <w:spacing w:after="0" w:line="240" w:lineRule="auto"/>
        <w:jc w:val="both"/>
      </w:pPr>
    </w:p>
    <w:p>
      <w:pPr>
        <w:ind w:left="1440"/>
        <w:spacing w:after="0" w:line="240" w:lineRule="auto"/>
        <w:jc w:val="both"/>
      </w:pPr>
      <w:r>
        <w:rPr>
          <w:rFonts w:ascii="Calibri" w:hAnsi="Calibri" w:cs="Calibri"/>
          <w:sz w:val="24"/>
          <w:sz w:val="24"/>
          <w:u w:val="single"/>
        </w:rPr>
        <w:t xml:space="preserve">Karrouze-Splett</w:t>
      </w:r>
    </w:p>
    <w:p>
      <w:pPr>
        <w:ind w:left="1440" w:hanging="1440"/>
        <w:spacing w:after="0" w:line="240" w:lineRule="auto"/>
        <w:jc w:val="both"/>
      </w:pPr>
      <w:r>
        <w:rPr>
          <w:rFonts w:ascii="Calibri" w:hAnsi="Calibri" w:cs="Calibri"/>
          <w:sz w:val="24"/>
          <w:sz w:val="24"/>
        </w:rPr>
        <w:t xml:space="preserve">1762</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Minutes of the Meeting of City Council held Friday, January 30, 2026 be taken as read and so adopted, all statutory requirements having been fulfilled. </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Luebke-Hildebrand</w:t>
      </w:r>
    </w:p>
    <w:p>
      <w:pPr>
        <w:ind w:left="1440" w:hanging="1440"/>
        <w:spacing w:after="0" w:line="240" w:lineRule="auto"/>
        <w:jc w:val="both"/>
      </w:pPr>
      <w:r>
        <w:rPr>
          <w:rFonts w:ascii="Calibri" w:hAnsi="Calibri" w:cs="Calibri"/>
          <w:sz w:val="24"/>
          <w:sz w:val="24"/>
        </w:rPr>
        <w:t xml:space="preserve">1763</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Minutes of the Special Meeting of City Council held Saturday, January 31, 2026 be taken as read and so adopted, all statutory requirements having been fulfilled. </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Cameron-Splett</w:t>
      </w:r>
    </w:p>
    <w:p>
      <w:pPr>
        <w:ind w:left="1440" w:hanging="1440"/>
        <w:spacing w:after="0" w:line="240" w:lineRule="auto"/>
        <w:jc w:val="both"/>
      </w:pPr>
      <w:r>
        <w:rPr>
          <w:rFonts w:ascii="Calibri" w:hAnsi="Calibri" w:cs="Calibri"/>
          <w:sz w:val="24"/>
          <w:sz w:val="24"/>
        </w:rPr>
        <w:t xml:space="preserve">1764</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Minutes of the Meeting of City Council held Monday, March 16, 2026 be taken as read and so adopted, all statutory requirements having been fulfilled. </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COMMUNITY COMMENTS &amp; FEEDBACK:</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HEARING OF PRESENTATIONS:</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HEARING OF DELEGATIONS: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4TH ANNUAL SALAMANDER MUSIC FESTIVAL</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Jennifer Watson, Chair of the Salamander Summer Music Festival, appeared before City Council with respect to the 4th annual Salamander Summer Music Festival. Jennifer provided an overview on the history of the Salamander Music Festival and stated the importance of hosting an accessible and local music festival which benefits to both performers and spectators. Jennifer noted the Salamander Festival will be held from July 17th to 19th, 2026 at Rideau Park, and inquired about attaining a full Community Event designation for this year's event.</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Luebke-Tame</w:t>
      </w:r>
    </w:p>
    <w:p>
      <w:pPr>
        <w:ind w:left="1440" w:hanging="1440"/>
        <w:spacing w:after="0" w:line="240" w:lineRule="auto"/>
        <w:jc w:val="both"/>
      </w:pPr>
      <w:r>
        <w:rPr>
          <w:rFonts w:ascii="Calibri" w:hAnsi="Calibri" w:cs="Calibri"/>
          <w:sz w:val="24"/>
          <w:sz w:val="24"/>
        </w:rPr>
        <w:t xml:space="preserve">1765</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presentation by Jennifer Watson regarding the 4th annual Salamander Summer Music Festival be received;</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And further that the event receive Community Event Designation at Rideau Park from July 17-21, 2026.</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PUBLIC HEARINGS: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CITY OF BRANDON 2026 FINANCIAL PLAN INCLUDING THE USE OF SPECIFIC PURPOSE RESERVES</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Considered was a report from the Finance Department dated March 24, 2026, with respect to the above.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City Council sat to hear representation on the City's 2026 Financial Plan, including the use of Specific Purpose Reserves.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Troy Tripp, Director of finance appeared before City Council and provided a power point overview of the 2026 Financial Plan.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RESIDENT appeared before City Council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Cameron-Desjarlais</w:t>
      </w:r>
    </w:p>
    <w:p>
      <w:pPr>
        <w:ind w:left="1440" w:hanging="1440"/>
        <w:spacing w:after="0" w:line="240" w:lineRule="auto"/>
        <w:jc w:val="both"/>
      </w:pPr>
      <w:r>
        <w:rPr>
          <w:rFonts w:ascii="Calibri" w:hAnsi="Calibri" w:cs="Calibri"/>
          <w:sz w:val="24"/>
          <w:sz w:val="24"/>
        </w:rPr>
        <w:t xml:space="preserve">1766</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Public Hearing on the City of Brandon 2026 Financial Plan be concluded. </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Cameron-Desjarlais</w:t>
      </w:r>
    </w:p>
    <w:p>
      <w:pPr>
        <w:ind w:left="1440" w:hanging="1440"/>
        <w:spacing w:after="0" w:line="240" w:lineRule="auto"/>
        <w:jc w:val="both"/>
      </w:pPr>
      <w:r>
        <w:rPr>
          <w:rFonts w:ascii="Calibri" w:hAnsi="Calibri" w:cs="Calibri"/>
          <w:sz w:val="24"/>
          <w:sz w:val="24"/>
        </w:rPr>
        <w:t xml:space="preserve">1767</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Public Hearing on the use of Specific Purpose Reserves be concluded. </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COMMUNICATIONS &amp; PETITIONS:</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COMMITTEE REPORTS:</w:t>
      </w:r>
    </w:p>
    <w:p>
      <w:pPr>
        <w:spacing w:after="0" w:line="240" w:lineRule="auto"/>
        <w:jc w:val="both"/>
      </w:pPr>
    </w:p>
    <w:tbl>
      <w:tblPr>
        <w:tblW w:w="0" w:type="auto"/>
        <w:tblLayout w:type="fixed"/>
        <w:tblCellMar>
          <w:left w:w="0" w:type="dxa"/>
          <w:right w:w="0" w:type="dxa"/>
        </w:tblCellMar>
        <w:tblLook w:val="0000"/>
      </w:tblPr>
      <w:tblGrid>
        <w:gridCol w:w="192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514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Audit and Finance</w:t>
            </w:r>
          </w:p>
        </w:tc>
        <w:tc>
          <w:tcPr>
            <w:tcW w:w="92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VERBAL</w:t>
            </w:r>
          </w:p>
        </w:tc>
        <w:tc>
          <w:tcPr>
            <w:tcW w:w="1920" w:type="dxa"/>
            <w:tcBorders>
              <w:bottom w:val="single" w:color="auto" w:sz="4" w:space="0"/>
            </w:tcBorders>
            <w:shd w:val="clear" w:color="auto" w:fill="auto"/>
          </w:tcPr>
          <w:p>
            <w:pPr>
              <w:spacing w:after="0" w:line="240" w:lineRule="auto"/>
              <w:jc w:val="right"/>
            </w:pPr>
            <w:r>
              <w:rPr>
                <w:rFonts w:ascii="Calibri" w:hAnsi="Calibri" w:cs="Calibri"/>
                <w:sz w:val="24"/>
                <w:sz w:val="24"/>
              </w:rPr>
              <w:t xml:space="preserve">APRIL 7, 2026</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Splett</w:t>
      </w:r>
    </w:p>
    <w:p>
      <w:pPr>
        <w:spacing w:after="0" w:line="240" w:lineRule="auto"/>
        <w:jc w:val="both"/>
      </w:pPr>
    </w:p>
    <w:p>
      <w:pPr>
        <w:spacing w:after="0" w:line="240" w:lineRule="auto"/>
        <w:jc w:val="both"/>
      </w:pPr>
      <w:r>
        <w:rPr>
          <w:rFonts w:ascii="Calibri" w:hAnsi="Calibri" w:cs="Calibri"/>
          <w:sz w:val="24"/>
          <w:sz w:val="24"/>
          <w:u w:val="single"/>
        </w:rPr>
        <w:t xml:space="preserve">ENQUIRIES:</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(312)</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DEAD TREES ALONG ASSINIBOINE</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Hildebrand enquired about the dead trees along the Assiniboine River.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the City would leave the standing dead trees in place unless a specific safety concern was identified. </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(313)</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26TH STREET SPEED TABLE</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Hildebrandon inquired about the effectiveness of the 26th Street Speed Table.</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Engineering would prepare a report summarizing pre- and post-installation speed data, and present findings to Council for information. Data collection would begin in 2027, following the completion of construction in 2026.</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Engineering would review the existing signage and pavement markings approaching the speed table, as well as the left turning movements onto Balsam Crescent. Improvements will be implemented as warranted. </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(314)</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PEDESTRIAN CROSSWALK AT 21ST STREET AND OTTAWA AVENUE</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Hildebrand inquired about the pedestrian crosswalk at the intersection of 21st Street and Ottawa Avenue.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Engineering would assess the crosswalk in 2026. Improvements, as required, would be scheduled for upgrade based on priority and available budget. </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(315)</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BANKING ERROR</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Hildebrand enquired about a banking error that caused a duplicate payment to be taken out of multiple resident accounts, and fee compensation related to working hours, postage, and processing fees.</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the banking institution would reimburse the NSF and overdraft fees, but at this time the City has not sought compensation on materials and working hours.</w:t>
      </w:r>
    </w:p>
    <w:p>
      <w:pPr>
        <w:spacing w:after="0" w:line="240" w:lineRule="auto"/>
        <w:jc w:val="both"/>
      </w:pPr>
    </w:p>
    <w:p>
      <w:pPr>
        <w:spacing w:after="0" w:line="240" w:lineRule="auto"/>
        <w:jc w:val="both"/>
      </w:pPr>
      <w:r>
        <w:rPr>
          <w:rFonts w:ascii="Calibri" w:hAnsi="Calibri" w:cs="Calibri"/>
          <w:sz w:val="24"/>
          <w:sz w:val="24"/>
          <w:u w:val="single"/>
        </w:rPr>
        <w:t xml:space="preserve">ANNOUNCEMENTS:</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GENERAL BUSINESS: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REPLACEMENT OF POLICE INTERCEPTOR</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That a capital expenditure of $91,100 to be funded by the Police Vehicle Reserve for the purchase of a replacement unit to be included in the 2026 Financial Plan.</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Luebke-Berry</w:t>
      </w:r>
    </w:p>
    <w:p>
      <w:pPr>
        <w:ind w:left="1440" w:hanging="1440"/>
        <w:spacing w:after="0" w:line="240" w:lineRule="auto"/>
        <w:jc w:val="both"/>
      </w:pPr>
      <w:r>
        <w:rPr>
          <w:rFonts w:ascii="Calibri" w:hAnsi="Calibri" w:cs="Calibri"/>
          <w:sz w:val="24"/>
          <w:sz w:val="24"/>
        </w:rPr>
        <w:t xml:space="preserve">1768</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a capital expenditure of $91,100 to be funded by the Police Vehicle Reserve for the purchase of a replacement unit to be included in the 2026 Financial Plan.</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(B)</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DOWNTOWN WASHROOM UPDATE</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Operations Department dated March 27,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Luebke-Karrouze</w:t>
      </w:r>
    </w:p>
    <w:p>
      <w:pPr>
        <w:ind w:left="1440" w:hanging="1440"/>
        <w:spacing w:after="0" w:line="240" w:lineRule="auto"/>
        <w:jc w:val="both"/>
      </w:pPr>
      <w:r>
        <w:rPr>
          <w:rFonts w:ascii="Calibri" w:hAnsi="Calibri" w:cs="Calibri"/>
          <w:sz w:val="24"/>
          <w:sz w:val="24"/>
        </w:rPr>
        <w:t xml:space="preserve">1769</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 That City Council receive this report and direct Administration to achieve 24/7 downtown washrooms in 2026 with the short-term Princess Park Washroom solution which is expected to have an additional operating cost of $74,100.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And further that up to $74,100 be expended from the Fiscal Contingency Reserve in support of this initiative and that administration proceed with the demolition of the Transit Information Centre building to be expended from the Parks Reserve. </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(C)</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2026 FINANCIAL PLAN </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 considered a report from the Finance Department dated March 20, 2026 with respect to the above.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spacing w:after="0" w:line="240" w:lineRule="auto"/>
        <w:jc w:val="both"/>
      </w:pPr>
    </w:p>
    <w:p>
      <w:pPr>
        <w:ind w:left="1440"/>
        <w:spacing w:after="0" w:line="240" w:lineRule="auto"/>
        <w:jc w:val="both"/>
      </w:pPr>
      <w:r>
        <w:rPr>
          <w:rFonts w:ascii="Calibri" w:hAnsi="Calibri" w:cs="Calibri"/>
          <w:sz w:val="24"/>
          <w:sz w:val="24"/>
          <w:u w:val="single"/>
        </w:rPr>
        <w:t xml:space="preserve">Luebke-Tame</w:t>
      </w:r>
    </w:p>
    <w:p>
      <w:pPr>
        <w:ind w:left="1440" w:hanging="1440"/>
        <w:spacing w:after="0" w:line="240" w:lineRule="auto"/>
        <w:jc w:val="both"/>
      </w:pPr>
      <w:r>
        <w:rPr>
          <w:rFonts w:ascii="Calibri" w:hAnsi="Calibri" w:cs="Calibri"/>
          <w:sz w:val="24"/>
          <w:sz w:val="24"/>
        </w:rPr>
        <w:t xml:space="preserve">1770</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2026 Financial Plan of the City of Brandon dated April 7, 2026, as set out in the form approved by the Minister of Municipal Relations, a copy of which is attached to the report of the Director of Finance dated March 20, 2026, be so adopted;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and further, that the operating and capital estimates outlined in said plan be incorporated in and form part of the 2026 Tax Levy By-Law. </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(D)</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2025 FINANCIAL INFORMATION RETURN</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City Council considered a report from the Finance Department dated March 24, 2026 with respect to the above.</w:t>
      </w:r>
    </w:p>
    <w:p>
      <w:pPr>
        <w:spacing w:after="0" w:line="240" w:lineRule="auto"/>
        <w:jc w:val="both"/>
      </w:pPr>
    </w:p>
    <w:p>
      <w:pPr>
        <w:ind w:left="1440"/>
        <w:spacing w:after="0" w:line="240" w:lineRule="auto"/>
        <w:jc w:val="both"/>
      </w:pPr>
      <w:r>
        <w:rPr>
          <w:rFonts w:ascii="Calibri" w:hAnsi="Calibri" w:cs="Calibri"/>
          <w:sz w:val="24"/>
          <w:sz w:val="24"/>
          <w:u w:val="single"/>
        </w:rPr>
        <w:t xml:space="preserve">Splett-Hildebrand</w:t>
      </w:r>
    </w:p>
    <w:p>
      <w:pPr>
        <w:ind w:left="1440" w:hanging="1440"/>
        <w:spacing w:after="0" w:line="240" w:lineRule="auto"/>
        <w:jc w:val="both"/>
      </w:pPr>
      <w:r>
        <w:rPr>
          <w:rFonts w:ascii="Calibri" w:hAnsi="Calibri" w:cs="Calibri"/>
          <w:sz w:val="24"/>
          <w:sz w:val="24"/>
        </w:rPr>
        <w:t xml:space="preserve">1771</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2025 Financial Information Return (unaudited) be adopted.</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(E)</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AMENDMENT TO CONDITIONAL APPROVAL - SUBDIVISION (4500-25-752) 2940 VICTORIA AVENUE </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Considered was a report from the planning &amp; Buildings Department dated March 25 2026, related to the above.</w:t>
      </w:r>
    </w:p>
    <w:p>
      <w:pPr>
        <w:spacing w:after="0" w:line="240" w:lineRule="auto"/>
        <w:jc w:val="both"/>
      </w:pPr>
    </w:p>
    <w:p>
      <w:pPr>
        <w:ind w:left="1440"/>
        <w:spacing w:after="0" w:line="240" w:lineRule="auto"/>
        <w:jc w:val="both"/>
      </w:pPr>
      <w:r>
        <w:rPr>
          <w:rFonts w:ascii="Calibri" w:hAnsi="Calibri" w:cs="Calibri"/>
          <w:sz w:val="24"/>
          <w:sz w:val="24"/>
          <w:u w:val="single"/>
        </w:rPr>
        <w:t xml:space="preserve">Cameron-Cullen</w:t>
      </w:r>
    </w:p>
    <w:p>
      <w:pPr>
        <w:ind w:left="1440" w:hanging="1440"/>
        <w:spacing w:after="0" w:line="240" w:lineRule="auto"/>
        <w:jc w:val="both"/>
      </w:pPr>
      <w:r>
        <w:rPr>
          <w:rFonts w:ascii="Calibri" w:hAnsi="Calibri" w:cs="Calibri"/>
          <w:sz w:val="24"/>
          <w:sz w:val="24"/>
        </w:rPr>
        <w:t xml:space="preserve">1772</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conditional approval to subdivide (4500—25—752) at 2940 Victoria Avenue (Lot 2, Plan 41029 BLTO) to create three (3) bare land condominium lots and a common element in the CAR Commercial Arterial Zone, as approved at the March 16, 2026 City Council meeting, be amended as follows: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Addition of Condition 3: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”Submitting written confirmation to the City of Brandon Planning &amp; Buildings Department that arrangements have been made for an easement agreement and Plan of Easement to the satisfaction of BeIIMTS, Manitoba Hydro/Centra Gas, and Westman Communications Group."</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(F)</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CITIZEN APPOINTMENT TO PLANNING COMMISSION</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 considered a report from the Legislative Services Department dated March 24,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Splett-Desjarlais</w:t>
      </w:r>
    </w:p>
    <w:p>
      <w:pPr>
        <w:ind w:left="1440" w:hanging="1440"/>
        <w:spacing w:after="0" w:line="240" w:lineRule="auto"/>
        <w:jc w:val="both"/>
      </w:pPr>
      <w:r>
        <w:rPr>
          <w:rFonts w:ascii="Calibri" w:hAnsi="Calibri" w:cs="Calibri"/>
          <w:sz w:val="24"/>
          <w:sz w:val="24"/>
        </w:rPr>
        <w:t xml:space="preserve">1773</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Garnet Boyd and Kevin Teneycke be appointed to the Planning Commission for a three (3) year term of office to commence April 8, 2026 and expire March 31, 2029.</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(G)</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HOUSING ACCELERATOR FUNDING</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Planning &amp; Building Department dated March 16,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Desjarlais-Splett</w:t>
      </w:r>
    </w:p>
    <w:p>
      <w:pPr>
        <w:ind w:left="1440" w:hanging="1440"/>
        <w:spacing w:after="0" w:line="240" w:lineRule="auto"/>
        <w:jc w:val="both"/>
      </w:pPr>
      <w:r>
        <w:rPr>
          <w:rFonts w:ascii="Calibri" w:hAnsi="Calibri" w:cs="Calibri"/>
          <w:sz w:val="24"/>
          <w:sz w:val="24"/>
        </w:rPr>
        <w:t xml:space="preserve">1774</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Council authorizes Administration to allocate the remaining second payment funds and the full third payment from the Housing Accelerator Fund (HAF) towards incentives and land assembly for city-wide affordable housing and downtown market housing as set-forth in the HAF action plan.</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BY-LAWS:</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u w:val="single"/>
              </w:rPr>
              <w:t xml:space="preserve">NO. 7449</w:t>
            </w:r>
          </w:p>
        </w:tc>
        <w:tc>
          <w:tcPr>
            <w:tcW w:w="8500" w:type="dxa"/>
          </w:tcPr>
          <w:p>
            <w:pPr>
              <w:spacing w:after="0" w:line="240" w:lineRule="auto"/>
              <w:jc w:val="both"/>
            </w:pPr>
            <w:r>
              <w:rPr>
                <w:rFonts w:ascii="Calibri" w:hAnsi="Calibri" w:cs="Calibri"/>
                <w:sz w:val="24"/>
                <w:sz w:val="24"/>
              </w:rPr>
              <w:t xml:space="preserve">2026 TAX LEVY BY-LAW</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1ST READING</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Finance Department dated March 20,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Desjarlais-Splett</w:t>
      </w:r>
    </w:p>
    <w:p>
      <w:pPr>
        <w:ind w:left="1440" w:hanging="1440"/>
        <w:spacing w:after="0" w:line="240" w:lineRule="auto"/>
        <w:jc w:val="both"/>
      </w:pPr>
      <w:r>
        <w:rPr>
          <w:rFonts w:ascii="Calibri" w:hAnsi="Calibri" w:cs="Calibri"/>
          <w:sz w:val="24"/>
          <w:sz w:val="24"/>
        </w:rPr>
        <w:t xml:space="preserve">1775</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7449 to impose and levy property taxes for the fiscal year 2026 be read a first time. </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u w:val="single"/>
              </w:rPr>
              <w:t xml:space="preserve">NO. 7453</w:t>
            </w:r>
          </w:p>
        </w:tc>
        <w:tc>
          <w:tcPr>
            <w:tcW w:w="8500" w:type="dxa"/>
          </w:tcPr>
          <w:p>
            <w:pPr>
              <w:spacing w:after="0" w:line="240" w:lineRule="auto"/>
              <w:jc w:val="both"/>
            </w:pPr>
            <w:r>
              <w:rPr>
                <w:rFonts w:ascii="Calibri" w:hAnsi="Calibri" w:cs="Calibri"/>
                <w:sz w:val="24"/>
                <w:sz w:val="24"/>
              </w:rPr>
              <w:t xml:space="preserve">TO AMEND BY-LAW NO. 7368 REZONING PROPERTY LOCATED AT 639 VAN HORNE AVENUE</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1ST READING</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Planning &amp; Buildings Department dated March 26,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Luebke-Desjarlais</w:t>
      </w:r>
    </w:p>
    <w:p>
      <w:pPr>
        <w:ind w:left="1440" w:hanging="1440"/>
        <w:spacing w:after="0" w:line="240" w:lineRule="auto"/>
        <w:jc w:val="both"/>
      </w:pPr>
      <w:r>
        <w:rPr>
          <w:rFonts w:ascii="Calibri" w:hAnsi="Calibri" w:cs="Calibri"/>
          <w:sz w:val="24"/>
          <w:sz w:val="24"/>
        </w:rPr>
        <w:t xml:space="preserve">1776</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7453, to amend By-law No. 7368, be given first reading.</w:t>
      </w:r>
      <w:r>
        <w:rPr>
          <w:rFonts w:ascii="Calibri" w:hAnsi="Calibri" w:cs="Calibri"/>
          <w:sz w:val="24"/>
          <w:sz w:val="24"/>
        </w:rPr>
        <w:t xml:space="preserve"/>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u w:val="single"/>
              </w:rPr>
              <w:t xml:space="preserve">NO. 7451</w:t>
            </w:r>
          </w:p>
        </w:tc>
        <w:tc>
          <w:tcPr>
            <w:tcW w:w="8500" w:type="dxa"/>
          </w:tcPr>
          <w:p>
            <w:pPr>
              <w:spacing w:after="0" w:line="240" w:lineRule="auto"/>
              <w:jc w:val="both"/>
            </w:pPr>
            <w:r>
              <w:rPr>
                <w:rFonts w:ascii="Calibri" w:hAnsi="Calibri" w:cs="Calibri"/>
                <w:sz w:val="24"/>
                <w:sz w:val="24"/>
              </w:rPr>
              <w:t xml:space="preserve">TO CLOSE AND CONVEY THE REMAINING EAST-WEST PORTION OF LANE LYING SOUTH OF PRINCESS AVENUE EAST</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1ST READING</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Planning &amp; Building Department dated March 26,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Desjarlais-Luebke</w:t>
      </w:r>
    </w:p>
    <w:p>
      <w:pPr>
        <w:ind w:left="1440" w:hanging="1440"/>
        <w:spacing w:after="0" w:line="240" w:lineRule="auto"/>
        <w:jc w:val="both"/>
      </w:pPr>
      <w:r>
        <w:rPr>
          <w:rFonts w:ascii="Calibri" w:hAnsi="Calibri" w:cs="Calibri"/>
          <w:sz w:val="24"/>
          <w:sz w:val="24"/>
        </w:rPr>
        <w:t xml:space="preserve">1777</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7451 to close and convey the remaining east/west portion of lane lysing south of Princess Avenue East in Block 20 Plan 332 BLTO, to be read a first time.</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GIVING OF NOTICE:</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ADJOURN:</w:t>
      </w:r>
    </w:p>
    <w:p>
      <w:pPr>
        <w:spacing w:after="0" w:line="240" w:lineRule="auto"/>
        <w:jc w:val="both"/>
      </w:pPr>
    </w:p>
    <w:p>
      <w:pPr>
        <w:ind w:left="1440"/>
        <w:spacing w:after="0" w:line="240" w:lineRule="auto"/>
        <w:jc w:val="both"/>
      </w:pPr>
      <w:r>
        <w:rPr>
          <w:rFonts w:ascii="Calibri" w:hAnsi="Calibri" w:cs="Calibri"/>
          <w:sz w:val="24"/>
          <w:sz w:val="24"/>
          <w:u w:val="single"/>
        </w:rPr>
        <w:t xml:space="preserve">Berry-Luebke</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That the meeting do now adjourn. (8:57 p.m.)</w:t>
      </w:r>
      <w:r>
        <w:rPr>
          <w:rFonts w:ascii="Calibri" w:hAnsi="Calibri" w:cs="Calibri"/>
          <w:sz w:val="24"/>
          <w:sz w:val="24"/>
        </w:rPr>
        <w:t xml:space="preserve"> CARRIED.</w:t>
      </w:r>
    </w:p>
    <w:p>
      <w:pPr>
        <w:spacing w:after="0" w:line="240" w:lineRule="auto"/>
        <w:jc w:val="both"/>
      </w:pPr>
    </w:p>
    <w:p>
      <w:pPr>
        <w:spacing w:after="0" w:line="240" w:lineRule="auto"/>
        <w:jc w:val="both"/>
      </w:pPr>
    </w:p>
    <w:p>
      <w:pPr>
        <w:spacing w:after="0" w:line="240" w:lineRule="auto"/>
        <w:jc w:val="both"/>
      </w:pPr>
    </w:p>
    <w:tbl>
      <w:tblPr>
        <w:tblW w:w="0" w:type="auto"/>
        <w:tblLayout w:type="fixed"/>
        <w:tblCellMar>
          <w:left w:w="0" w:type="dxa"/>
          <w:right w:w="0" w:type="dxa"/>
        </w:tblCellMar>
        <w:tblLook w:val="0000"/>
      </w:tblPr>
      <w:tblGrid>
        <w:gridCol w:w="216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2160" w:type="dxa"/>
            <w:tcBorders>
              <w:bottom w:val="single" w:color="auto" w:sz="4" w:space="0"/>
            </w:tcBorders>
            <w:shd w:val="clear" w:color="auto" w:fill="auto"/>
          </w:tcPr>
          <w:p>
            <w:pPr>
              <w:jc w:val="center"/>
              <w:spacing w:after="0" w:line="240" w:lineRule="auto"/>
            </w:pPr>
            <w:r>
              <w:rPr>
                <w:rFonts w:ascii="Calibri" w:hAnsi="Calibri" w:cs="Calibri"/>
                <w:sz w:val="24"/>
                <w:sz w:val="24"/>
              </w:rPr>
              <w:t xml:space="preserve"/>
            </w:r>
          </w:p>
        </w:tc>
        <w:tc>
          <w:tcPr>
            <w:tcW w:w="3920" w:type="dxa"/>
          </w:tcPr>
          <w:p>
            <w:pPr>
              <w:spacing w:after="0" w:line="240" w:lineRule="auto"/>
              <w:jc w:val="both"/>
            </w:pPr>
            <w:r>
              <w:rPr>
                <w:rFonts w:ascii="Calibri" w:hAnsi="Calibri" w:cs="Calibri"/>
                <w:sz w:val="24"/>
                <w:sz w:val="24"/>
              </w:rPr>
              <w:t xml:space="preserve"/>
            </w:r>
          </w:p>
        </w:tc>
        <w:tc>
          <w:tcPr>
            <w:tcW w:w="2160" w:type="dxa"/>
            <w:tcBorders>
              <w:bottom w:val="single" w:color="auto" w:sz="4" w:space="0"/>
            </w:tcBorders>
            <w:shd w:val="clear" w:color="auto" w:fill="auto"/>
          </w:tcPr>
          <w:p>
            <w:pPr>
              <w:jc w:val="center"/>
              <w:spacing w:after="0" w:line="240" w:lineRule="auto"/>
            </w:pPr>
            <w:r>
              <w:rPr>
                <w:rFonts w:ascii="Calibri" w:hAnsi="Calibri" w:cs="Calibri"/>
                <w:sz w:val="24"/>
                <w:sz w:val="24"/>
              </w:rPr>
              <w:t xml:space="preserve"/>
            </w:r>
          </w:p>
        </w:tc>
      </w:tr>
    </w:tbl>
    <w:tbl>
      <w:tblPr>
        <w:tblW w:w="0" w:type="auto"/>
        <w:tblLayout w:type="fixed"/>
        <w:tblCellMar>
          <w:left w:w="0" w:type="dxa"/>
          <w:right w:w="0" w:type="dxa"/>
        </w:tblCellMar>
        <w:tblLook w:val="0000"/>
      </w:tblPr>
      <w:tblGrid>
        <w:gridCol w:w="216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2160" w:type="dxa"/>
          </w:tcPr>
          <w:p>
            <w:pPr>
              <w:jc w:val="center"/>
              <w:spacing w:after="0" w:line="240" w:lineRule="auto"/>
            </w:pPr>
            <w:r>
              <w:rPr>
                <w:rFonts w:ascii="Calibri" w:hAnsi="Calibri" w:cs="Calibri"/>
                <w:sz w:val="24"/>
                <w:sz w:val="24"/>
              </w:rPr>
              <w:t xml:space="preserve">MAYOR</w:t>
            </w:r>
          </w:p>
        </w:tc>
        <w:tc>
          <w:tcPr>
            <w:tcW w:w="3920" w:type="dxa"/>
          </w:tcPr>
          <w:p>
            <w:pPr>
              <w:spacing w:after="0" w:line="240" w:lineRule="auto"/>
              <w:jc w:val="both"/>
            </w:pPr>
            <w:r>
              <w:rPr>
                <w:rFonts w:ascii="Calibri" w:hAnsi="Calibri" w:cs="Calibri"/>
                <w:sz w:val="24"/>
                <w:sz w:val="24"/>
              </w:rPr>
              <w:t xml:space="preserve"/>
            </w:r>
          </w:p>
        </w:tc>
        <w:tc>
          <w:tcPr>
            <w:tcW w:w="2160" w:type="dxa"/>
          </w:tcPr>
          <w:p>
            <w:pPr>
              <w:jc w:val="center"/>
              <w:spacing w:after="0" w:line="240" w:lineRule="auto"/>
            </w:pPr>
            <w:r>
              <w:rPr>
                <w:rFonts w:ascii="Calibri" w:hAnsi="Calibri" w:cs="Calibri"/>
                <w:sz w:val="24"/>
                <w:sz w:val="24"/>
              </w:rPr>
              <w:t xml:space="preserve">CITY CLERK</w:t>
            </w:r>
          </w:p>
        </w:tc>
      </w:tr>
    </w:tbl>
  </w:body>
</w:document>
</file>

<file path=word/numbering.xml><?xml version="1.0" encoding="utf-8"?>
<w:numbering xmlns:w="http://schemas.openxmlformats.org/wordprocessingml/2006/main">
  <w:abstractNum w:abstractNumId="1">
    <w:lvl w:ilvl="1">
      <w:numFmt w:val="bullet"/>
      <w:lvlText w:val="·"/>
    </w:lvl>
  </w:abstractNum>
  <w:num w:numId="1">
    <w:abstractNumId w:val="1"/>
  </w:num>
</w:numbering>
</file>

<file path=word/styles.xml><?xml version="1.0" encoding="utf-8"?>
<w:styles xmlns:w="http://schemas.openxmlformats.org/wordprocessingml/2006/main">
  <w:style w:type="character" w:styleId="Hyperlink" w:customStyle="true">
    <w:link w:val="LinkedStyle"/>
    <w:name w:val="Hyperlink"/>
    <w:rPr>
      <w:color w:val="0000FF"/>
      <w:rFonts w:ascii="Calibri" w:hAnsi="Calibri" w:cs="Calibri"/>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60a32bbf0ea54b92" /><Relationship Type="http://schemas.openxmlformats.org/officeDocument/2006/relationships/numbering" Target="/word/numbering.xml" Id="bulletedList" /></Relationships>
</file>